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D4" w:rsidRDefault="008426D4" w:rsidP="008426D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тәжірибелік негіздері, 1 курс, докторантура.</w:t>
      </w:r>
    </w:p>
    <w:p w:rsidR="00410F72" w:rsidRPr="00B8237E" w:rsidRDefault="007F5FE6" w:rsidP="00B8237E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10-дәріс. </w:t>
      </w:r>
      <w:r w:rsidRPr="00DB0734">
        <w:rPr>
          <w:rFonts w:ascii="Times New Roman" w:hAnsi="Times New Roman" w:cs="Times New Roman"/>
          <w:lang w:val="kk-KZ"/>
        </w:rPr>
        <w:t xml:space="preserve">Әл-Фараби атындағы Қазақ ұлттық университеті ғалымдарының 20 инновациялық жобасы. Ұлттық </w:t>
      </w:r>
      <w:r>
        <w:rPr>
          <w:rFonts w:ascii="Times New Roman" w:hAnsi="Times New Roman" w:cs="Times New Roman"/>
          <w:lang w:val="kk-KZ"/>
        </w:rPr>
        <w:t xml:space="preserve"> ғылыми журналистика</w:t>
      </w:r>
      <w:r w:rsidRPr="00DB0734">
        <w:rPr>
          <w:rFonts w:ascii="Times New Roman" w:hAnsi="Times New Roman" w:cs="Times New Roman"/>
          <w:lang w:val="kk-KZ"/>
        </w:rPr>
        <w:t>ның бағыт-бағдары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  <w:r w:rsidR="00410F72" w:rsidRPr="00410F72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1. Өсімдік шикізатынан сорбциондық материалдар өндірісі технологиясын жасау.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2. Қазандықтарды мазутсыз жағудың плазмалық-жағармайлық жүйесі. Алматы қаласы ЖЭС-да көмір тозаңын ұстау мен тұрақтандыру. 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3. Отқа төзімді кабель өнімдерін өндіретін құрылғыларды шығару.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4. Өсімдіктен алынатын «Санжар» сылаумайын өндірістік жолға қою.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5. Күн сәулесін жинақтайтын ғылыми толымды және жоғарытехнологиялы шағынжылуфотоэлектрлік модульдер мен энергетикалық қондырғылар өндіріснін ретке келтіру. 6.Ағын суларды микросуөсімдіктері пайдалану арқылы биологиялық тазалау технологиясын жасау.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7.Әсері жоғары наноөлшемді катализаторлар алу технологиясын жасау.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8. Металл және ағаш конструкциялары әлемдік деңгейдегі отқа төзімді қаптамаларының қазіргі өндірісін жолға қою.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9. Медициналық алдын алу қарауға арналған аппараттық-бағдарламалық кешен.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10. Жоғары сапалы жем қосындысы мен биогумус алу мақсатында ауыл шаруашылығы өндірісі қалдықтарын қайта өңдеуге арналған «Вермикультура» биотехнологиялық кешенін жасау. 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11.Жаңа наноқұрылымды гидрогельдік имплантанттық материал өндірісі технологиясын жүзеге асыру.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12. Мұнай ластаған топырақ мен топыраққиыршықты биомедиациялауға арналған микроб препаратын (микотрих) шығару.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13. Дәрілік «Жаңавалидол» препаратының тәжірибелік шағын өндірісін жолға қою.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14.  Әл-Фараби атындағы ҚАзҰУ кампусында тұрмыстық қатты  қалдықтардың органикалық фракцияларын өңдеудің экологиялық қауіпсіз технологиясын жасау және енгізу.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15.Құрғақ зарядталған қорғасын аккумуляторларының татану ингибиторларын іріктеу.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16. Ауыл шаруашылығы және медицинада қолдану үшін микросуөсімдіктері негізінде жасалған биологиялық белсенді қоспалар мен биодемеуші алу.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17. Плазма тозаңын айыру әдісімен монодиспенсерлік микрондық бөлшектер алу.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18. Биоремедиацияға арналған алуан өзгешелікті биопрепараттар технологиясын жасау.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19.Жалпықолданысқа арналған жарықдиодты шамдар өндірісіне арналған технологиялық желі.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20. ҚазҰУ-дің электронды кампусы.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0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Казахстане выбрали лучшие инновационные проекты!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В Казахстане выбрали самых инновационных! Подведены итоги конкурса, который 3 месяца проводили Министерство индустрии и новых технологий РК совместно с АО «Национальный инновационный фонд».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Было подано 529 заявок от компаний, и как говорят организаторы, это небывало высокий показатель!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i/>
          <w:lang w:val="kk-KZ"/>
        </w:rPr>
      </w:pPr>
      <w:r w:rsidRPr="00410F72">
        <w:rPr>
          <w:rFonts w:ascii="Times New Roman" w:hAnsi="Times New Roman" w:cs="Times New Roman"/>
          <w:b/>
          <w:i/>
          <w:lang w:val="kk-KZ"/>
        </w:rPr>
        <w:t xml:space="preserve">Структура принятых заявок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762500" cy="2266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50 победителей примут участие в Инновационном Форуме и Выставке инновационных проектов — мероприятие продлиться два дня, и стартует в понедельник, в Астане, во Дворце Независимости. В открытии примет участие президент Казахстана.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В топ-лист вошли не только ИТ-проекты, но и научные разработки (например, новая технология восстановительной плавки легированных сталей, и технология очистки и опреснения воды с использованием мембранных технологий).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Ключевые сферы деятельности участников конкурса распределились так: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18 % — металлургия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14 % — транспорт и энергетика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10 % — медицина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6 % — сельское хозяйство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6 % — машиностроение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Достаточно сильные проекты были представлены в сфере медицины и фармацевтики (10%).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Так, Фармацевтической компанией «Ромат» был разработан анти-туберкулезный препарат на нано- и микросистемах. Его КПД по сравнению с другими лекарствами выше, а токсичность — меньше. В итоге, к нулю сведены побочные эффекты, такие, как лекарственный гепатит.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Из победителей, имеющих отношение к интернет-технологиям, стоит отметить приложение MyPaykz. Уже сейчас оно позволяет оплачивать услуги свыше пятидесяти компаний. Это сотовая связь, оплата за интернет, кабельное ТВ, коммунальные платежи и т.д.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2012 году через сервис можно будет оплатить штрафы ГАИ, а также некоторые налоги, купить билеты на поезд и самолет, а также сделать переводы с карты на карту через мобильный телефон.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С момента запуска приложение, предоставляющее возможность дистанционно оплачивать услуги в режиме реального времени при помощи мобильного телефона с использованием банковской карты абоненту любого казахстанского оператора GSM-связи*, было доступно для владельцев обычных телефонов, а также для смартфонов с операционными системами J2ME, Symbian и Windows Mobile. В ноябре 2011 года было объявлено о запуске приложения для владельцев телефонов под управлением ОС Android, а в декабре решение MyPaykz будет реализовано под iOS (iPhone).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Среди активно внедряющих компьютерные технологии жюри отметило молодую компанию «The one capital», которая специализируется на внедрении современных технологий в бизнес. Среди ее заявок — гибридная видеоконференцсвязь, проект Open Wi-Fi в столице, казахский язык на планшете iPad.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410F72">
        <w:rPr>
          <w:rFonts w:ascii="Times New Roman" w:hAnsi="Times New Roman" w:cs="Times New Roman"/>
          <w:b/>
          <w:lang w:val="kk-KZ"/>
        </w:rPr>
        <w:t>Ярослав Кузьминов, ректор Высшей школы экономики: внедрение инноваций требует целенаправленной госполитики: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«Переход к инновационной экономике в РФ требует целенаправленной государственной промышленной политики, способной расставить приоритеты в развитии новых технологий, а также серьезной поддержки российской науки и бизнеса. В России только 10% предприятий внедряют инновации. В Греции, для сравнения, до 25% проектов составляют инновационные. В таких странах, как Германия и Бельгия, число внедряемых инновационных проектов - порядка 50-70%. Перед Россией стоит огромная задача достроить технологический инновационный блок».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0F72">
        <w:rPr>
          <w:rFonts w:ascii="Times New Roman" w:hAnsi="Times New Roman" w:cs="Times New Roman"/>
          <w:b/>
          <w:sz w:val="28"/>
          <w:szCs w:val="28"/>
          <w:lang w:val="kk-KZ"/>
        </w:rPr>
        <w:t>Инновации и модернизация России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Пчелинцев Ю.В., Гинтовт А.Н.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</w:t>
      </w:r>
      <w:r w:rsidRPr="00410F72">
        <w:rPr>
          <w:rFonts w:ascii="Times New Roman" w:hAnsi="Times New Roman" w:cs="Times New Roman"/>
          <w:lang w:val="kk-KZ"/>
        </w:rPr>
        <w:t>нновационные проекты России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1. Около 5 тысяч лет назад Рама с помощью омелы спас от эпидемии холеры свой народ - скифов. Опираясь на завоёванный авторитет, он смог прекратить действие варварских обычаев человеческих жертвоприношений богам. Спасаясь от преследования жрецов, с отрядом своих сторонников он завоевал сначала Персию, затем Индию. Он вошел в   историю Индии, как царь раматеков, т.е. отец всех индийцев. А в историю религии - как первосвященник и основоположник религий мира, Персии и Индии (Э. Шюре «Великие посвященные», г. Калуга, 1904г.).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2. В    I    веке   новой   эры   другой   инновационный   проект   великого   нашего предка - славянского царя даков Децибала, вошел в античную историю (Г. Хафнер Выдающиеся портреты античности, М. «Прогресс», 1981). Идея его проекта состояла в том, чтобы в союзе с соседними странами неожиданно и одновременно ударить по наступающим, рассредоточенным римским легионам. Результат был блестящим. Римский император Тит Флавий Домициан (81-93гг. н.э.) признал поражение. Впервые и единственный раз в римской истории длительное время Рим платил дакам дань, прислал Децибалу своих лучших оружейников, архитекторов, строителей для обустройства и вооружения Дакии.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3. Гордостью России XVIII века стал проект Петра I по превращению России в морскую державу и переносу столицы из Москвы в Санкт-Петербург.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4. Победы всех Цезарей, Александров, Ганнибалов, Искандеров, Тамерланов и др. полководцев меркнут перед результатами реализации инвестиционного проекта купцов Строгановых по организации похода в Сибирь отряда Ермака. Маленький, полутысячный отряд Ермака захватил столицу Сибири и всех монголов - крепость Искер (ныне г. Тобольск), разгромил 100 тыс. армию татар, установил контроль над Сибирью, присоединил Сибирь к маленькому Московскому княжеству, сделал Россию бессмертной, крупнейшей страной мира. Он поставил точку в тысячелетнем споре и противостоянии русских с татаро-монгольскими завоевателями. К сожалению, исторические заслуги Рамы, Ермака и Децибала в русской истории забыты и недооценены. Нет упоминания о них в книгах историков- классиков Костомарова, Соловьева и др. и в школьных учебниках истории М.Н. Зуева, А.Н. Сахарова и др.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5. В 1891-1916гг. был реализован крупнейший инновационный проект XIX века - строительство Транссибирской железнодорожной магистрали «Челябинск-Омск-Иркутск-Хабаровск-Владивосток».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6. В 1920-1933гг. Г.М. Кржижановским был реализован план электрификации России ГОЭЛРО. В результате было построено 20 районных тепловых электростанций и 10 крупных ГЭС общей мощностью 3,8 млн. кВт. ГОЭЛРО создал фундамент Индустриализации   СССР.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7. 17.12.1932 г. Приказом СНК СССР был образовано Главное управление северного морского пути «СМП», как главной морской магистрали СССР в Северном ледовитом океане. Началось планомерное строительство объектов инфраструктуры: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построены полярные порты - Игарка, Диксон, Тикси, Колыма, Певек, Проведения и др.;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образованы речные пароходства на крупнейших сибирских реках;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построены атомные ледоколы «Ленин», «Сибирь», «Арктика», «Ермак»;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Арктике были созданы около 50 научных и метеостанций;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проведены масштабные гидрографические исследования, картографирование, составлены лоции морей и проливов; изучены закономерности движения льда; установлено навигационное оборудование на всем протяжении СМП;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началось постоянное перемещение грузов по СМП за одну навигацию для городов Сибири и экспорт грузов из Сибири;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1970г. образована единая государственная Администрация СМП, расстояние завоза грузов на Колыму и др. пункты Восточной Сибири сократилось против 22 тыс. км южного пути до 5,6 тыс.км по СМП;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уже в 1936 году объем ежегодных перевозок по СМП достиг 270 тыс.т.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Однако вторая мировая война и переход к рыночной экономике прекратили постоянную эксплуатацию СМП, что нанесло огромный ущерб процессам освоения Сибири и Арктики (а это главный фактор выживания и усиления РФ). Фактически СМП - это самый неотложный и эффективный проект модернизации РФ.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7. В 1929-1941гг. И.В. Сталиным был реализован проект Индустриализации СССР. Было построено около 9000 крупных заводов с передовыми технологиями. Без этих заводов не было бы победы СССР над Германией в 1945 году. Правда, в строительстве этих заводов участвовали, в числе других, и млн. бесплатных рабов ГУЛАГА. Сталин поступил в соответствии с историческими традициями - все   великие   пирамиды, каналы, храмы были созданы не богами, а руками рабов. Объем ВВП СССР за 12 лет возрос в 6,5 раз (против 20-30% роста в других индустриальных странах). СССР по уровню промышленного развития вышел на первое место в Европе и второе место в мире. Реализация этого проекта выдвинула Сталина на роль лидера среди вождей всех времен и народов.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8. В 1954-1960гг. под руководством Н.С. Хрущева был реализован проект освоения целины: в Казахской ССР, Сибири, на Урале, в Поволжье и др. районах было введено в сельскохозяйственный оборот 42 млн. га целинных земель. Этот проект позволил навсегда преодолеть дефицит хлеба и опасность голода в стране.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9. Под руководством конструктора ракет С.П. Королева 4.10.1957 года был запущен искусственный спутник Земли, в 1959 - спутник Солнца, в 1966г.- спутник Луны, в 1975г. - спутник Венеры; 12.04.1964г. - полет первого в мире космонавта Ю.А. Гагарина.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10. В 1960-е годы были построены крупные заводы «ВАЗ», «КАМАЗ», Атоммаш.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11. В 1964-1980 гг. Л.И. Брежнев реализовал величайший в XX веке проект «Создания в Тюменской области крупнейшего в мире топливно-энергетического комплекса по добыче нефти и газа». В условиях Крайнего Севера, в болотах и тайге были построены десятки современных городов и поселков, освоено более 350 млрд.$ инвестиций, добыто более 10 мдрд.т нефти и более 14 трл.куб.м газа. Доход страны составил несколько десятков трл.$. Несмотря на сказки и эмоции «фантастов застоя», необходимо признать, что без этой топливно-энергетической базы РФ сегодня не было бы на карте независимых стран мира... Страны, армии, изобретатели, торговцы, бизнесмены, воины всегда конкурируют и непримиримо борются друг с другом за территории и ресурсы, за место на земле и в космосе.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12. 04.11.1967г. в Москве было завершено строительство и начала работу Останкинская телебашня - величайшее сооружение XX века конструктора Н.В. Никитина. Высота башни 508 м. На долгие годы башня стала символом г. Москвы и одним из чудес света. Н.В.Никитин также является автором проекта здания МГУ и многих других уникальных сооружений. До Останкинской телебашни рекорд высоты сооружений принадлежал Эйфелевой металлической вышке (300 м.). Технология сооружения конструкций изданий из напряженного железобетона получила мировое признание и широко применяется во многих странах.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13.Следующим проектом под № 13 должна была стать Энергетическая программа СССР. Но М.С. Горбачев говорил одно, а делал другое. К выполнению этой программы  он вообще не приступил. Этот проект стал отвлекающей рекламной ширмой «ударников» модернизации. С 1985г. были изданы и другие многочисленные указы, программы, постановления Правительства РФ по модернизации, которые также не выполнены: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Энергетическая программа СССР;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устойчивого развития РФ;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инновационной политики РФ на 1998- 2000 гг.;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реформирования российской науки на 1998-2000 гг.;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Концепция инновационной политики РФ на 2000-2005 гг.;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Основы политики РФ в области науки и технологий до 2020 г. и на дальнейшую перспективу;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Аккумулирование инвестиционных ресурсов на приоритетных направлениях НТП;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Правовое обеспечение и стимулирование инвестиционных процессов до 2012г.;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Формирование инновационной инфраструктуры до 2020 г. и т.д., и т.п.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14. М.С. Горбачев и В.В. Бокатин под видом укрепления мира и прекращения «холодной войны» ликвидировали КГБ. ЦРУ и НАТО быстро отреагировали на это мероприятие. Были организованы «оранжевые» антисоветские революции в социалистических странах и в республиках СССР. По РФ прокатилась волна многочисленных аварий, взрывов, катастроф: 26.04.1986г. взрыв на Чернобыльской АЭС, аварии и уничтожение самых мощных АПЛ «Комсомолец» и «Курск», взрыв новой, самой мощной в мире баллистической ракеты «Протон», взрыв одновременно двух поездов в Башкирии с гибелью более 700 человек, множество взрывов самолетов, жилых домов, предприятий, газопроводов, нефтепроводов, Саяно-Шушенской ГЭС, станций и поездов метро, Останкинской телебашни  и т.д., и т.п.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15. Германия организовала перелет на спортивном самолете юного Руста сквозь все советские системы ПВО с посадкой у стен Кремля. Горбачев мгновенно уволил всех профессиональных руководителей Министерства обороны СССР и назначил министром обороны преданного себе начальника отдела кадров Язова. Ядерные наступательные части были, в основном, оперативно уничтожены, а их остатки поставлены под контроль инспекций США. При этом армии НАТО и США сообщили, что они свои ядерные ракеты разместили на складах и не намерены уничтожать, а тем более допускать на них инспекции РФ. Ракетные базы США и НАТО приблизились непосредственно к границам РФ.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Встраивание России в фарватер американской политики происходило в соответствии с известным планом директора ЦРУ А. Даллеса. В известной книге «Размышления о реализации американской послевоенной доктрины против СССР», 1945г. он конкретно сказал: «Окончится война, и мы бросим все золото, всю мощь на одурачивание людей в СССР. Посеем там хаос. Найдем своих единомышленников в самой России. Литература, театры, кино будут прославлять самые низменные чувства: культ секса, насилия, садизма, наглость, ложь, наркоманию, (пьянство), национализм, ненависть к русским, будем развращать, растлевать, превращать в циников молодежь». В 1995г. Билл Клинтон на совещании генералитета США доложил об успешном выполнении этого дьявольского проекта: «Политика показала правильность курса на устранение одной из сильнейших держав мира... Мы добились того, что собирался сделать Трумэн, посредством атомной бомбы. Правда, с одним существенным отличием: мы получили сырьевой придаток... Нынешнее руководство страны (РФ) нас устраивает во всех отношениях... Да, мы затратили на это многие млрд. долларов, но уже близки к самоокупаемости». («Правда», 28.07.2008г.) США только на закупках российского оружейного урана получили прибыль более 30 трл.$.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16. РФ был выбран не китайский вариант перехода к рынку (который предлагал А.Н.Косыгин), не чешский вариант (который предлагал А.И. Вольский), а самый разорительный и губительный - американский вариант модернизации. На темной дороге к рынку погибли более 10 млн. человек (так, в 2009г. население РФ сократилось на 225 тыс. человек), 40% населения стали нищими; из-за разрухи и нищеты 7% детей младшего возраста брошены родителями и стали беспризорными... М.С. Горбачеву без промедления была присвоена Нобелевская премия, бесчисленные гранды и премии всех безмерно благодарных конкурентов и основных противников России.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последующие годы М.С. Горбачев и его последователи по шумок о модернизации неутомимо растаскивали и разрушали инфраструктуру России. Россия с марта 1985г. постоянно находится в состоянии глубокого кризиса на развалинах прошлого могущества СССР.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За более чем 30 лет реформ страна вместо обещанной модернизации из группы лидеров отброшена из 140 стран крупнейших стран в последнюю десятку, в разряд отсталых и беднейших стран мира (См. Табл. № 1), приблизилась к краю гибели. В связи с ослаблением России, ежегодный нелегальный приток китайцев на территорию РФ возрос до 0,4-0,8 млн. человек и превращается в первоочередную проблему безопасности страны.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Показатели конкурентоспособности РФ (Таблица N 1)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Показатели</w:t>
      </w:r>
      <w:r w:rsidRPr="00410F72">
        <w:rPr>
          <w:rFonts w:ascii="Times New Roman" w:hAnsi="Times New Roman" w:cs="Times New Roman"/>
          <w:lang w:val="kk-KZ"/>
        </w:rPr>
        <w:tab/>
        <w:t>Критический уровень</w:t>
      </w:r>
      <w:r w:rsidRPr="00410F72">
        <w:rPr>
          <w:rFonts w:ascii="Times New Roman" w:hAnsi="Times New Roman" w:cs="Times New Roman"/>
          <w:lang w:val="kk-KZ"/>
        </w:rPr>
        <w:tab/>
        <w:t>Факт</w:t>
      </w:r>
      <w:r w:rsidRPr="00410F72">
        <w:rPr>
          <w:rFonts w:ascii="Times New Roman" w:hAnsi="Times New Roman" w:cs="Times New Roman"/>
          <w:lang w:val="kk-KZ"/>
        </w:rPr>
        <w:tab/>
        <w:t>Соотношение с критическим уровнем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Доля обрабатывающей промышленности в ВВП</w:t>
      </w:r>
      <w:r w:rsidRPr="00410F72">
        <w:rPr>
          <w:rFonts w:ascii="Times New Roman" w:hAnsi="Times New Roman" w:cs="Times New Roman"/>
          <w:lang w:val="kk-KZ"/>
        </w:rPr>
        <w:tab/>
        <w:t>70%</w:t>
      </w:r>
      <w:r w:rsidRPr="00410F72">
        <w:rPr>
          <w:rFonts w:ascii="Times New Roman" w:hAnsi="Times New Roman" w:cs="Times New Roman"/>
          <w:lang w:val="kk-KZ"/>
        </w:rPr>
        <w:tab/>
        <w:t>50%</w:t>
      </w:r>
      <w:r w:rsidRPr="00410F72">
        <w:rPr>
          <w:rFonts w:ascii="Times New Roman" w:hAnsi="Times New Roman" w:cs="Times New Roman"/>
          <w:lang w:val="kk-KZ"/>
        </w:rPr>
        <w:tab/>
        <w:t>0,71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Доля Машиностроения в ВВП</w:t>
      </w:r>
      <w:r w:rsidRPr="00410F72">
        <w:rPr>
          <w:rFonts w:ascii="Times New Roman" w:hAnsi="Times New Roman" w:cs="Times New Roman"/>
          <w:lang w:val="kk-KZ"/>
        </w:rPr>
        <w:tab/>
        <w:t>20%</w:t>
      </w:r>
      <w:r w:rsidRPr="00410F72">
        <w:rPr>
          <w:rFonts w:ascii="Times New Roman" w:hAnsi="Times New Roman" w:cs="Times New Roman"/>
          <w:lang w:val="kk-KZ"/>
        </w:rPr>
        <w:tab/>
        <w:t>15%</w:t>
      </w:r>
      <w:r w:rsidRPr="00410F72">
        <w:rPr>
          <w:rFonts w:ascii="Times New Roman" w:hAnsi="Times New Roman" w:cs="Times New Roman"/>
          <w:lang w:val="kk-KZ"/>
        </w:rPr>
        <w:tab/>
        <w:t>0,75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% Инвестиций от ВВП</w:t>
      </w:r>
      <w:r w:rsidRPr="00410F72">
        <w:rPr>
          <w:rFonts w:ascii="Times New Roman" w:hAnsi="Times New Roman" w:cs="Times New Roman"/>
          <w:lang w:val="kk-KZ"/>
        </w:rPr>
        <w:tab/>
        <w:t>25%</w:t>
      </w:r>
      <w:r w:rsidRPr="00410F72">
        <w:rPr>
          <w:rFonts w:ascii="Times New Roman" w:hAnsi="Times New Roman" w:cs="Times New Roman"/>
          <w:lang w:val="kk-KZ"/>
        </w:rPr>
        <w:tab/>
        <w:t>13%</w:t>
      </w:r>
      <w:r w:rsidRPr="00410F72">
        <w:rPr>
          <w:rFonts w:ascii="Times New Roman" w:hAnsi="Times New Roman" w:cs="Times New Roman"/>
          <w:lang w:val="kk-KZ"/>
        </w:rPr>
        <w:tab/>
        <w:t>0,6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Расходы на науку от ВВП</w:t>
      </w:r>
      <w:r w:rsidRPr="00410F72">
        <w:rPr>
          <w:rFonts w:ascii="Times New Roman" w:hAnsi="Times New Roman" w:cs="Times New Roman"/>
          <w:lang w:val="kk-KZ"/>
        </w:rPr>
        <w:tab/>
        <w:t>2%</w:t>
      </w:r>
      <w:r w:rsidRPr="00410F72">
        <w:rPr>
          <w:rFonts w:ascii="Times New Roman" w:hAnsi="Times New Roman" w:cs="Times New Roman"/>
          <w:lang w:val="kk-KZ"/>
        </w:rPr>
        <w:tab/>
        <w:t>0,5%</w:t>
      </w:r>
      <w:r w:rsidRPr="00410F72">
        <w:rPr>
          <w:rFonts w:ascii="Times New Roman" w:hAnsi="Times New Roman" w:cs="Times New Roman"/>
          <w:lang w:val="kk-KZ"/>
        </w:rPr>
        <w:tab/>
        <w:t>0,25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Новая продукция в ВВП</w:t>
      </w:r>
      <w:r w:rsidRPr="00410F72">
        <w:rPr>
          <w:rFonts w:ascii="Times New Roman" w:hAnsi="Times New Roman" w:cs="Times New Roman"/>
          <w:lang w:val="kk-KZ"/>
        </w:rPr>
        <w:tab/>
        <w:t>6%</w:t>
      </w:r>
      <w:r w:rsidRPr="00410F72">
        <w:rPr>
          <w:rFonts w:ascii="Times New Roman" w:hAnsi="Times New Roman" w:cs="Times New Roman"/>
          <w:lang w:val="kk-KZ"/>
        </w:rPr>
        <w:tab/>
        <w:t>2/3%</w:t>
      </w:r>
      <w:r w:rsidRPr="00410F72">
        <w:rPr>
          <w:rFonts w:ascii="Times New Roman" w:hAnsi="Times New Roman" w:cs="Times New Roman"/>
          <w:lang w:val="kk-KZ"/>
        </w:rPr>
        <w:tab/>
        <w:t>0,43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Продолжительность жизни</w:t>
      </w:r>
      <w:r w:rsidRPr="00410F72">
        <w:rPr>
          <w:rFonts w:ascii="Times New Roman" w:hAnsi="Times New Roman" w:cs="Times New Roman"/>
          <w:lang w:val="kk-KZ"/>
        </w:rPr>
        <w:tab/>
        <w:t>70 лет</w:t>
      </w:r>
      <w:r w:rsidRPr="00410F72">
        <w:rPr>
          <w:rFonts w:ascii="Times New Roman" w:hAnsi="Times New Roman" w:cs="Times New Roman"/>
          <w:lang w:val="kk-KZ"/>
        </w:rPr>
        <w:tab/>
        <w:t>64 года</w:t>
      </w:r>
      <w:r w:rsidRPr="00410F72">
        <w:rPr>
          <w:rFonts w:ascii="Times New Roman" w:hAnsi="Times New Roman" w:cs="Times New Roman"/>
          <w:lang w:val="kk-KZ"/>
        </w:rPr>
        <w:tab/>
        <w:t>0,91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Разрыв между доходами 10% богатых и 10% бедных</w:t>
      </w:r>
      <w:r w:rsidRPr="00410F72">
        <w:rPr>
          <w:rFonts w:ascii="Times New Roman" w:hAnsi="Times New Roman" w:cs="Times New Roman"/>
          <w:lang w:val="kk-KZ"/>
        </w:rPr>
        <w:tab/>
        <w:t>8 раз</w:t>
      </w:r>
      <w:r w:rsidRPr="00410F72">
        <w:rPr>
          <w:rFonts w:ascii="Times New Roman" w:hAnsi="Times New Roman" w:cs="Times New Roman"/>
          <w:lang w:val="kk-KZ"/>
        </w:rPr>
        <w:tab/>
        <w:t>2З раза</w:t>
      </w:r>
      <w:r w:rsidRPr="00410F72">
        <w:rPr>
          <w:rFonts w:ascii="Times New Roman" w:hAnsi="Times New Roman" w:cs="Times New Roman"/>
          <w:lang w:val="kk-KZ"/>
        </w:rPr>
        <w:tab/>
        <w:t>0,25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Импорт в потреблении.</w:t>
      </w:r>
      <w:r w:rsidRPr="00410F72">
        <w:rPr>
          <w:rFonts w:ascii="Times New Roman" w:hAnsi="Times New Roman" w:cs="Times New Roman"/>
          <w:lang w:val="kk-KZ"/>
        </w:rPr>
        <w:tab/>
        <w:t>30%</w:t>
      </w:r>
      <w:r w:rsidRPr="00410F72">
        <w:rPr>
          <w:rFonts w:ascii="Times New Roman" w:hAnsi="Times New Roman" w:cs="Times New Roman"/>
          <w:lang w:val="kk-KZ"/>
        </w:rPr>
        <w:tab/>
        <w:t>53%</w:t>
      </w:r>
      <w:r w:rsidRPr="00410F72">
        <w:rPr>
          <w:rFonts w:ascii="Times New Roman" w:hAnsi="Times New Roman" w:cs="Times New Roman"/>
          <w:lang w:val="kk-KZ"/>
        </w:rPr>
        <w:tab/>
        <w:t>0,56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т.ч. в продовольствии</w:t>
      </w:r>
      <w:r w:rsidRPr="00410F72">
        <w:rPr>
          <w:rFonts w:ascii="Times New Roman" w:hAnsi="Times New Roman" w:cs="Times New Roman"/>
          <w:lang w:val="kk-KZ"/>
        </w:rPr>
        <w:tab/>
        <w:t>25%</w:t>
      </w:r>
      <w:r w:rsidRPr="00410F72">
        <w:rPr>
          <w:rFonts w:ascii="Times New Roman" w:hAnsi="Times New Roman" w:cs="Times New Roman"/>
          <w:lang w:val="kk-KZ"/>
        </w:rPr>
        <w:tab/>
        <w:t>30%</w:t>
      </w:r>
      <w:r w:rsidRPr="00410F72">
        <w:rPr>
          <w:rFonts w:ascii="Times New Roman" w:hAnsi="Times New Roman" w:cs="Times New Roman"/>
          <w:lang w:val="kk-KZ"/>
        </w:rPr>
        <w:tab/>
        <w:t>0,83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Различие по регионам</w:t>
      </w:r>
      <w:r w:rsidRPr="00410F72">
        <w:rPr>
          <w:rFonts w:ascii="Times New Roman" w:hAnsi="Times New Roman" w:cs="Times New Roman"/>
          <w:lang w:val="kk-KZ"/>
        </w:rPr>
        <w:tab/>
        <w:t>1,5 раза</w:t>
      </w:r>
      <w:r w:rsidRPr="00410F72">
        <w:rPr>
          <w:rFonts w:ascii="Times New Roman" w:hAnsi="Times New Roman" w:cs="Times New Roman"/>
          <w:lang w:val="kk-KZ"/>
        </w:rPr>
        <w:tab/>
        <w:t xml:space="preserve">5 раз </w:t>
      </w:r>
      <w:r w:rsidRPr="00410F72">
        <w:rPr>
          <w:rFonts w:ascii="Times New Roman" w:hAnsi="Times New Roman" w:cs="Times New Roman"/>
          <w:lang w:val="kk-KZ"/>
        </w:rPr>
        <w:tab/>
        <w:t>0,3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(Борисоглебский В.П. «Ведомости ТПП» № 423, декабрь 2009г.; Виноградов, Кишенбаум «Конкурентоспособность в нефтяной промышленности» - М. ГАНГ. 2003г.)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Опыт Китая и др. стран по переходу к рынку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При выборе путей и методов модернизации целесообразно изучить опыт других стран. С первых лет образования КНР ее вожди провозгласили себя наследниками великих завоеваний Чингисхана. Стратегической целью Китая стало создание мировой империи - властительницы мира. Опыт Китая охватывает более 5000 лет истории периода процветания Египта, майя, инков, Европы. В отличие от Христианской философии Европы, которая предполагает покорное подчинение Судьбе, китайская философия Конфуция требует от человека личной энергии, уверенности в своих силах в формировании мира и своего успеха!   Культ личности, культ личного успеха! Китайцы пробовали применить и усовершенствовать различные творческие варианты, при более бережном отношении к людям и традициям. Были сохранены кадры капиталистов: в сельском хозяйстве, в промышленности, в финансовой сфере. Их детей не отправляли в тюрьмы, как в СССР, а принимали в комсомол, в КПК, в армию, в училища. Дэн Сяопин эксперимент в виде «большого скачка» заменил   прагматической программой планомерного перехода к  рынку. Для контроля к старым капиталистическим кадрам приставили секретарей парткомов... Используя положительный опыт плановой экономики СССР, постепенно устранили голод, безграмотность, техническое отставание и планомерно стали проводить модернизацию промышленности и   в  сельском хозяйстве. Дэн Сяопин: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Не стал позорить Мао и ломать его плановую систему, а занялся повышением ее эффективности;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 аграрной стране он начал не с города, а  с сельского хозяйства, чтобы накормить и одеть людей;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Постепенно проводя приватизацию, он не дал разворовать богатство страны; в Китае разница доходов между городом и деревней, между богатыми и бедными составляет примерно 3 раза, против 23 раз в РФ;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Количество людей за чертой нищеты в Китае в 1950-е годы было 250 млн. (25%), через 25 лет стало всего 2% (против 40% в РФ);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ВВП возрос в 15 раз;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Объем экспорта - более, чем в 100 раз;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Объем инвестиций достиг 800 млрд.$ в год;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Доля Китая в мировом ВВП достигла 23% (США - 18%, Индия - 8,4%, Японии - 4,6%, России - 3,2%, Германии - 2,9%, Бразилии - 2,4%); Китай опережает все ведущие страны по выпуску ЭВМ, электронной и др. техники;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ВУЗы Китая выпускают в 4 раза больше специалистов, чем  США или ЕЭС (В.Овчинников «Китайцы у себя дома» Российская газета № 185, 1.10.2009г.).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Любое масштабное дело не может пройти идеально. Соответственно и в реформе КНР отмечаются недостатки: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А) Приоритетом КНР является торговое сотрудничество с мировыми лидерами НТП, но это ведет к тому, что до 80% прибыли новых предприятий уходит зарубежным инвесторам и владельцам лицензий, но уже в ближайшее время эту долю планируется снизить сначала до 30%, а затем и до 0;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Б) Стратегия глобализации нашла свое выражение в интеграции с приграничными районами соседних государств. По оценкам специалистов, ежегодно на территорию Дальнего Востока РФ нелегально проникают от 0,4 до 0,8 млн. китайцев, активно развивается торговля и сотрудничество с республиками Средней Азии;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В) Китай активно поддерживает все международные инициативы США и стран Запада по развалу и устранению РФ, как конкурента;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Г) Пока кадры КНР не полностью справляются с задачей адаптации новейшей техники и нанотехнологий Запада к предприятиям КНР, поэтому применяется принцип коммерческой, маркетинговой эффективности закупаемых предприятий и оборудования.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Эти болезни роста планируется преодолеть в ближайшем будущем... Необходимо также изучить положительный опыт Японии, Германии, Казахстана, Белоруссии и др. стран.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Выводы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Какие выводы следуют сделать? Анализ крупнейших инновационных проектов в истории России мог бы дать определенную основу для размышлений о путях модернизации.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1. В связи с тем, что встраивание России в фарватер американской политики привело к провалу, повышенной смертности населения, сопоставимой с военными потерями, разрушению инфраструктуры обороны, промышленности, сельского хозяйства...внести необходимые коррективы в приоритеты стратегии модернизации РФ. 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2. Необходимо выполнить анализ показателей хода реформ, подобно табл. №1 и внести неотложные коррективы в процесс модернизации. Соответственно, разработать перечень первоочередных мероприятий, который может быть сформирован  с учетом показателей таблицы № 1.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>3. Приоритетно обеспечить: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наращивание доли обрабатывающей, перерабатывающей; промышленности и машиностроения в ВВП;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обеспечить рост  инвестиций в создание инфраструктуры модернизации;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увеличить расходы на науку и образование;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добиться наращивания доли новой продукции в ВВП;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планомерно уменьшать разрыв между доходами богатых и бедных граждан, и разных регионов;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снизить долю импорта в потреблении, особенно сельхозпродукции и медикаментов;</w:t>
      </w:r>
    </w:p>
    <w:p w:rsidR="00410F72" w:rsidRPr="00410F72" w:rsidRDefault="00410F72" w:rsidP="00410F7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10F72">
        <w:rPr>
          <w:rFonts w:ascii="Times New Roman" w:hAnsi="Times New Roman" w:cs="Times New Roman"/>
          <w:lang w:val="kk-KZ"/>
        </w:rPr>
        <w:t xml:space="preserve"> рассмотреть возможность переноса столицы РФ из Москвы в Сибирь, для ускорения темпов развития Сибири и повышения уровня безопасности страны.</w:t>
      </w:r>
    </w:p>
    <w:p w:rsidR="00410F72" w:rsidRPr="00410F72" w:rsidRDefault="00410F72" w:rsidP="00410F72">
      <w:pPr>
        <w:spacing w:after="0"/>
        <w:rPr>
          <w:rFonts w:ascii="Times New Roman" w:hAnsi="Times New Roman" w:cs="Times New Roman"/>
          <w:lang w:val="kk-KZ"/>
        </w:rPr>
      </w:pPr>
    </w:p>
    <w:p w:rsidR="00260E7A" w:rsidRPr="00410F72" w:rsidRDefault="00260E7A" w:rsidP="00410F72">
      <w:pPr>
        <w:spacing w:after="0"/>
        <w:rPr>
          <w:rFonts w:ascii="Times New Roman" w:hAnsi="Times New Roman" w:cs="Times New Roman"/>
        </w:rPr>
      </w:pPr>
    </w:p>
    <w:sectPr w:rsidR="00260E7A" w:rsidRPr="00410F72" w:rsidSect="0088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426D4"/>
    <w:rsid w:val="00260E7A"/>
    <w:rsid w:val="00410F72"/>
    <w:rsid w:val="007F5FE6"/>
    <w:rsid w:val="008426D4"/>
    <w:rsid w:val="008816AD"/>
    <w:rsid w:val="00B8237E"/>
    <w:rsid w:val="00C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3362</Words>
  <Characters>19167</Characters>
  <Application>Microsoft Office Word</Application>
  <DocSecurity>0</DocSecurity>
  <Lines>159</Lines>
  <Paragraphs>44</Paragraphs>
  <ScaleCrop>false</ScaleCrop>
  <Company>Microsoft</Company>
  <LinksUpToDate>false</LinksUpToDate>
  <CharactersWithSpaces>22485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5</cp:revision>
  <dcterms:created xsi:type="dcterms:W3CDTF">2014-01-04T09:02:00Z</dcterms:created>
  <dcterms:modified xsi:type="dcterms:W3CDTF">2018-11-18T16:11:00Z</dcterms:modified>
</cp:coreProperties>
</file>